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7B5FE" w14:textId="1ECCDED0" w:rsidR="004A4803" w:rsidRPr="004A4803" w:rsidRDefault="004A4803" w:rsidP="004A4803">
      <w:pPr>
        <w:jc w:val="center"/>
        <w:rPr>
          <w:rFonts w:ascii="Arial" w:hAnsi="Arial" w:cs="Arial"/>
          <w:b/>
          <w:sz w:val="20"/>
          <w:szCs w:val="20"/>
        </w:rPr>
      </w:pPr>
      <w:r w:rsidRPr="004A4803">
        <w:rPr>
          <w:rFonts w:ascii="Arial" w:hAnsi="Arial" w:cs="Arial"/>
          <w:b/>
          <w:sz w:val="20"/>
          <w:szCs w:val="20"/>
        </w:rPr>
        <w:t>Professor John Packer</w:t>
      </w:r>
    </w:p>
    <w:p w14:paraId="6378518A" w14:textId="77777777" w:rsidR="004A4803" w:rsidRPr="004A4803" w:rsidRDefault="004A4803">
      <w:pPr>
        <w:rPr>
          <w:rFonts w:ascii="Arial" w:hAnsi="Arial" w:cs="Arial"/>
          <w:sz w:val="20"/>
          <w:szCs w:val="20"/>
        </w:rPr>
      </w:pPr>
    </w:p>
    <w:p w14:paraId="6765083C" w14:textId="020DB8D4" w:rsidR="00F01A34" w:rsidRPr="004A4803" w:rsidRDefault="00862910">
      <w:pPr>
        <w:rPr>
          <w:rFonts w:ascii="Arial" w:hAnsi="Arial" w:cs="Arial"/>
          <w:sz w:val="20"/>
          <w:szCs w:val="20"/>
        </w:rPr>
      </w:pPr>
      <w:r w:rsidRPr="004A4803">
        <w:rPr>
          <w:rFonts w:ascii="Arial" w:hAnsi="Arial" w:cs="Arial"/>
          <w:sz w:val="20"/>
          <w:szCs w:val="20"/>
        </w:rPr>
        <w:t>John Packer is Director of the Human Rights Research and Education Centre and Neuberger-</w:t>
      </w:r>
      <w:proofErr w:type="spellStart"/>
      <w:r w:rsidRPr="004A4803">
        <w:rPr>
          <w:rFonts w:ascii="Arial" w:hAnsi="Arial" w:cs="Arial"/>
          <w:sz w:val="20"/>
          <w:szCs w:val="20"/>
        </w:rPr>
        <w:t>Jesin</w:t>
      </w:r>
      <w:proofErr w:type="spellEnd"/>
      <w:r w:rsidRPr="004A4803">
        <w:rPr>
          <w:rFonts w:ascii="Arial" w:hAnsi="Arial" w:cs="Arial"/>
          <w:sz w:val="20"/>
          <w:szCs w:val="20"/>
        </w:rPr>
        <w:t xml:space="preserve"> Professor of International Conflict Resolution in the Faculty of Law at the University of Ottawa (Canada). He previously taught at the Fletcher School (Tufts University) and the University of Essex, held Fellowships at Cambridge and Harvard Universities, and has lectured at academic and professional institutions around the world. Over his 30-year career, he was an inter-governmental official for 20 years (UNHCR, ILO, OHCHR, UNDPA, OSCE) and has advised numerous governments, communities and other actors in over fifty countries. In 2012-2014, he was the Constitutions and Process Design Expert on the UN’s Standby Team of Mediation Experts. The focus of his research and practice is at the inter-section of human rights (including minority rights) and security, notably conflict prevention and quiet diplomacy, international mediation, transitional arrangements, and institutional developments at domestic and multilateral levels.</w:t>
      </w:r>
      <w:bookmarkStart w:id="0" w:name="_GoBack"/>
      <w:bookmarkEnd w:id="0"/>
    </w:p>
    <w:sectPr w:rsidR="00F01A34" w:rsidRPr="004A4803" w:rsidSect="00594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10"/>
    <w:rsid w:val="0024388F"/>
    <w:rsid w:val="004A4803"/>
    <w:rsid w:val="005942A7"/>
    <w:rsid w:val="00862910"/>
    <w:rsid w:val="00B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66F1C6"/>
  <w15:chartTrackingRefBased/>
  <w15:docId w15:val="{6756E523-A7D2-8541-AC9E-7171B528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Stanton</dc:creator>
  <cp:keywords/>
  <dc:description/>
  <cp:lastModifiedBy>Gregory Stanton</cp:lastModifiedBy>
  <cp:revision>2</cp:revision>
  <dcterms:created xsi:type="dcterms:W3CDTF">2019-01-12T22:36:00Z</dcterms:created>
  <dcterms:modified xsi:type="dcterms:W3CDTF">2019-01-12T22:36:00Z</dcterms:modified>
</cp:coreProperties>
</file>